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ascii="长城小标宋体" w:hAnsi="长城小标宋体" w:eastAsia="长城小标宋体" w:cs="长城小标宋体"/>
          <w:b/>
          <w:sz w:val="36"/>
        </w:rPr>
      </w:pPr>
      <w:bookmarkStart w:id="0" w:name="_Hlk75163998"/>
      <w:bookmarkStart w:id="1" w:name="_Hlk75163964"/>
      <w:r>
        <w:rPr>
          <w:rFonts w:hint="eastAsia" w:ascii="黑体" w:hAnsi="黑体" w:eastAsia="黑体" w:cs="Times New Roman"/>
          <w:b/>
          <w:bCs/>
          <w:kern w:val="0"/>
          <w:sz w:val="32"/>
          <w:szCs w:val="32"/>
          <w:lang w:val="en-US" w:eastAsia="zh-CN"/>
        </w:rPr>
        <w:t>71.</w:t>
      </w:r>
      <w:r>
        <w:rPr>
          <w:rFonts w:hint="eastAsia" w:ascii="黑体" w:hAnsi="黑体" w:eastAsia="黑体" w:cs="Times New Roman"/>
          <w:b/>
          <w:bCs/>
          <w:kern w:val="0"/>
          <w:sz w:val="32"/>
          <w:szCs w:val="32"/>
        </w:rPr>
        <w:t>集成LED驱动单灯智能模块</w:t>
      </w:r>
    </w:p>
    <w:bookmarkEnd w:id="0"/>
    <w:tbl>
      <w:tblPr>
        <w:tblStyle w:val="14"/>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186"/>
        <w:gridCol w:w="2186"/>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hint="eastAsia" w:ascii="仿宋" w:hAnsi="仿宋" w:eastAsia="仿宋" w:cs="仿宋"/>
                <w:sz w:val="28"/>
                <w:szCs w:val="28"/>
                <w:u w:val="single"/>
              </w:rPr>
            </w:pPr>
            <w:bookmarkStart w:id="2" w:name="_Hlk75163932"/>
            <w:r>
              <w:rPr>
                <w:rFonts w:hint="eastAsia" w:ascii="仿宋" w:hAnsi="仿宋" w:eastAsia="仿宋" w:cs="仿宋"/>
                <w:b/>
                <w:bCs/>
                <w:sz w:val="28"/>
                <w:szCs w:val="28"/>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655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陕西电子信息集团光电科技有限公司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所属行业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制造业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技术领域</w:t>
            </w:r>
          </w:p>
        </w:tc>
        <w:tc>
          <w:tcPr>
            <w:tcW w:w="2187"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电子信息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b/>
                <w:bCs/>
                <w:sz w:val="28"/>
                <w:szCs w:val="28"/>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需求类别</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■技术研发（关键、核心技术）</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■产品研发（产品升级、新产品研发）</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□技术改造（设备、研发生产条件）</w:t>
            </w:r>
          </w:p>
          <w:p>
            <w:pPr>
              <w:spacing w:line="360" w:lineRule="exact"/>
              <w:ind w:firstLine="0" w:firstLineChars="0"/>
              <w:rPr>
                <w:rFonts w:hint="eastAsia" w:ascii="仿宋" w:hAnsi="仿宋" w:eastAsia="仿宋" w:cs="仿宋"/>
                <w:kern w:val="0"/>
                <w:sz w:val="28"/>
                <w:szCs w:val="28"/>
              </w:rPr>
            </w:pPr>
            <w:r>
              <w:rPr>
                <w:rFonts w:hint="eastAsia" w:ascii="仿宋" w:hAnsi="仿宋" w:eastAsia="仿宋" w:cs="仿宋"/>
                <w:sz w:val="28"/>
                <w:szCs w:val="28"/>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trPr>
        <w:tc>
          <w:tcPr>
            <w:tcW w:w="630" w:type="dxa"/>
            <w:vMerge w:val="continue"/>
            <w:tcBorders>
              <w:left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内容</w:t>
            </w:r>
          </w:p>
        </w:tc>
        <w:tc>
          <w:tcPr>
            <w:tcW w:w="7239" w:type="dxa"/>
            <w:gridSpan w:val="4"/>
            <w:tcBorders>
              <w:top w:val="single" w:color="auto" w:sz="4" w:space="0"/>
              <w:left w:val="nil"/>
              <w:bottom w:val="single" w:color="auto" w:sz="4" w:space="0"/>
              <w:right w:val="single" w:color="auto" w:sz="4" w:space="0"/>
            </w:tcBorders>
          </w:tcPr>
          <w:p>
            <w:pPr>
              <w:pStyle w:val="24"/>
              <w:numPr>
                <w:ilvl w:val="0"/>
                <w:numId w:val="0"/>
              </w:numPr>
              <w:spacing w:line="360" w:lineRule="exact"/>
              <w:ind w:leftChars="0" w:firstLine="562" w:firstLineChars="200"/>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1.需要解决的技术问题</w:t>
            </w:r>
          </w:p>
          <w:p>
            <w:pPr>
              <w:pStyle w:val="21"/>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rPr>
              <w:t>通过将单灯控制器和LED驱动集成，来减小灯具安装组件数量，从而免去应用中接线复杂的问题，同时省去防水端子等部件，减小产品成本。</w:t>
            </w:r>
          </w:p>
          <w:p>
            <w:pPr>
              <w:pStyle w:val="21"/>
              <w:numPr>
                <w:ilvl w:val="0"/>
                <w:numId w:val="0"/>
              </w:numPr>
              <w:spacing w:line="360" w:lineRule="exact"/>
              <w:ind w:leftChars="0"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技术需求提出背景及技术应用领域</w:t>
            </w:r>
          </w:p>
          <w:p>
            <w:pPr>
              <w:pStyle w:val="21"/>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rPr>
              <w:t>现有智能照明灯具的实现方式都是通过在灯具外加单灯控制器及调光电源，灯具通过将单灯控制器和LED驱动集成，安装组件数量较多，接线复杂，产品成本较高。</w:t>
            </w:r>
          </w:p>
          <w:p>
            <w:pPr>
              <w:pStyle w:val="21"/>
              <w:numPr>
                <w:ilvl w:val="0"/>
                <w:numId w:val="0"/>
              </w:numPr>
              <w:spacing w:line="360" w:lineRule="exact"/>
              <w:ind w:leftChars="0"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技术难点</w:t>
            </w:r>
          </w:p>
          <w:p>
            <w:pPr>
              <w:pStyle w:val="21"/>
              <w:numPr>
                <w:ilvl w:val="0"/>
                <w:numId w:val="0"/>
              </w:num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①</w:t>
            </w:r>
            <w:r>
              <w:rPr>
                <w:rFonts w:hint="eastAsia" w:ascii="仿宋" w:hAnsi="仿宋" w:eastAsia="仿宋" w:cs="仿宋"/>
                <w:sz w:val="28"/>
                <w:szCs w:val="28"/>
              </w:rPr>
              <w:t>高可靠性驱动电源设计；</w:t>
            </w:r>
          </w:p>
          <w:p>
            <w:pPr>
              <w:pStyle w:val="21"/>
              <w:numPr>
                <w:ilvl w:val="0"/>
                <w:numId w:val="0"/>
              </w:num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②</w:t>
            </w:r>
            <w:r>
              <w:rPr>
                <w:rFonts w:hint="eastAsia" w:ascii="仿宋" w:hAnsi="仿宋" w:eastAsia="仿宋" w:cs="仿宋"/>
                <w:sz w:val="28"/>
                <w:szCs w:val="28"/>
              </w:rPr>
              <w:t>无线通讯协议及组网方式；</w:t>
            </w:r>
          </w:p>
          <w:p>
            <w:pPr>
              <w:pStyle w:val="21"/>
              <w:numPr>
                <w:ilvl w:val="0"/>
                <w:numId w:val="0"/>
              </w:numPr>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③</w:t>
            </w:r>
            <w:r>
              <w:rPr>
                <w:rFonts w:hint="eastAsia" w:ascii="仿宋" w:hAnsi="仿宋" w:eastAsia="仿宋" w:cs="仿宋"/>
                <w:sz w:val="28"/>
                <w:szCs w:val="28"/>
              </w:rPr>
              <w:t>电参数数据采集及传输；</w:t>
            </w:r>
          </w:p>
          <w:p>
            <w:pPr>
              <w:pStyle w:val="21"/>
              <w:numPr>
                <w:ilvl w:val="0"/>
                <w:numId w:val="0"/>
              </w:numPr>
              <w:spacing w:line="360" w:lineRule="exact"/>
              <w:ind w:leftChars="0"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主要技术经济指标</w:t>
            </w:r>
          </w:p>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①</w:t>
            </w:r>
            <w:r>
              <w:rPr>
                <w:rFonts w:hint="eastAsia" w:ascii="仿宋" w:hAnsi="仿宋" w:eastAsia="仿宋" w:cs="仿宋"/>
                <w:sz w:val="28"/>
                <w:szCs w:val="28"/>
              </w:rPr>
              <w:t>采用Zigbee、蓝牙或其它无线通讯方式，通讯距离＞100m(空旷场景)；</w:t>
            </w:r>
          </w:p>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②</w:t>
            </w:r>
            <w:r>
              <w:rPr>
                <w:rFonts w:hint="eastAsia" w:ascii="仿宋" w:hAnsi="仿宋" w:eastAsia="仿宋" w:cs="仿宋"/>
                <w:sz w:val="28"/>
                <w:szCs w:val="28"/>
              </w:rPr>
              <w:t>具有控制灯具的开关与调光功能，关灯后驱动断电，待机功耗小于3W，调光范围（10%-100%）</w:t>
            </w:r>
            <w:r>
              <w:rPr>
                <w:rFonts w:hint="eastAsia" w:ascii="仿宋" w:hAnsi="仿宋" w:eastAsia="仿宋" w:cs="仿宋"/>
                <w:sz w:val="28"/>
                <w:szCs w:val="28"/>
                <w:lang w:eastAsia="zh-CN"/>
              </w:rPr>
              <w:t>；</w:t>
            </w:r>
          </w:p>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③</w:t>
            </w:r>
            <w:r>
              <w:rPr>
                <w:rFonts w:hint="eastAsia" w:ascii="仿宋" w:hAnsi="仿宋" w:eastAsia="仿宋" w:cs="仿宋"/>
                <w:sz w:val="28"/>
                <w:szCs w:val="28"/>
              </w:rPr>
              <w:t>支持大规模组网，组网规模不低于65535个接点；</w:t>
            </w:r>
          </w:p>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④</w:t>
            </w:r>
            <w:r>
              <w:rPr>
                <w:rFonts w:hint="eastAsia" w:ascii="仿宋" w:hAnsi="仿宋" w:eastAsia="仿宋" w:cs="仿宋"/>
                <w:sz w:val="28"/>
                <w:szCs w:val="28"/>
              </w:rPr>
              <w:t>驱动电源支持在线设定输出电流（或编程方式调节输出电流），具有过温保护，过压保护，短路保护；</w:t>
            </w:r>
          </w:p>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⑤</w:t>
            </w:r>
            <w:r>
              <w:rPr>
                <w:rFonts w:hint="eastAsia" w:ascii="仿宋" w:hAnsi="仿宋" w:eastAsia="仿宋" w:cs="仿宋"/>
                <w:sz w:val="28"/>
                <w:szCs w:val="28"/>
              </w:rPr>
              <w:t>支持过压保护、过流保护参数设置（独立于驱动）；</w:t>
            </w:r>
          </w:p>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⑥</w:t>
            </w:r>
            <w:r>
              <w:rPr>
                <w:rFonts w:hint="eastAsia" w:ascii="仿宋" w:hAnsi="仿宋" w:eastAsia="仿宋" w:cs="仿宋"/>
                <w:sz w:val="28"/>
                <w:szCs w:val="28"/>
              </w:rPr>
              <w:t>支持电参数上报、故障上报功能；</w:t>
            </w:r>
          </w:p>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⑦</w:t>
            </w:r>
            <w:r>
              <w:rPr>
                <w:rFonts w:hint="eastAsia" w:ascii="仿宋" w:hAnsi="仿宋" w:eastAsia="仿宋" w:cs="仿宋"/>
                <w:sz w:val="28"/>
                <w:szCs w:val="28"/>
              </w:rPr>
              <w:t>支持离线时，时控调光和经纬度调光控制功能；</w:t>
            </w:r>
          </w:p>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⑧</w:t>
            </w:r>
            <w:r>
              <w:rPr>
                <w:rFonts w:hint="eastAsia" w:ascii="仿宋" w:hAnsi="仿宋" w:eastAsia="仿宋" w:cs="仿宋"/>
                <w:sz w:val="28"/>
                <w:szCs w:val="28"/>
              </w:rPr>
              <w:t>输入电压：90-305VAC，输出电压范围：20-54VDC,最大功率分别为：50W/100W/150W/200W/240W,功率因数（220VAC，65%负载）＞0.96，效率＞0.91（220VAC，65%负载）；</w:t>
            </w:r>
          </w:p>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⑨</w:t>
            </w:r>
            <w:r>
              <w:rPr>
                <w:rFonts w:hint="eastAsia" w:ascii="仿宋" w:hAnsi="仿宋" w:eastAsia="仿宋" w:cs="仿宋"/>
                <w:sz w:val="28"/>
                <w:szCs w:val="28"/>
              </w:rPr>
              <w:t>工作温度范围：-40℃-90℃；</w:t>
            </w:r>
          </w:p>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⑩</w:t>
            </w:r>
            <w:r>
              <w:rPr>
                <w:rFonts w:hint="eastAsia" w:ascii="仿宋" w:hAnsi="仿宋" w:eastAsia="仿宋" w:cs="仿宋"/>
                <w:sz w:val="28"/>
                <w:szCs w:val="28"/>
              </w:rPr>
              <w:t>寿命时间：＞100000Hours(220VAC</w:t>
            </w:r>
            <w:r>
              <w:rPr>
                <w:rFonts w:hint="eastAsia" w:ascii="仿宋" w:hAnsi="仿宋" w:eastAsia="仿宋" w:cs="仿宋"/>
                <w:sz w:val="28"/>
                <w:szCs w:val="28"/>
                <w:lang w:eastAsia="zh-CN"/>
              </w:rPr>
              <w:t>，</w:t>
            </w:r>
            <w:r>
              <w:rPr>
                <w:rFonts w:hint="eastAsia" w:ascii="仿宋" w:hAnsi="仿宋" w:eastAsia="仿宋" w:cs="仿宋"/>
                <w:sz w:val="28"/>
                <w:szCs w:val="28"/>
              </w:rPr>
              <w:t>80%负载，壳温75℃)，提供寿命曲线；</w:t>
            </w:r>
          </w:p>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⑪</w:t>
            </w:r>
            <w:r>
              <w:rPr>
                <w:rFonts w:hint="eastAsia" w:ascii="仿宋" w:hAnsi="仿宋" w:eastAsia="仿宋" w:cs="仿宋"/>
                <w:sz w:val="28"/>
                <w:szCs w:val="28"/>
              </w:rPr>
              <w:t>防护等级：大于IP65</w:t>
            </w:r>
            <w:r>
              <w:rPr>
                <w:rFonts w:hint="eastAsia" w:ascii="仿宋" w:hAnsi="仿宋" w:eastAsia="仿宋" w:cs="仿宋"/>
                <w:sz w:val="28"/>
                <w:szCs w:val="28"/>
                <w:lang w:eastAsia="zh-CN"/>
              </w:rPr>
              <w:t>；</w:t>
            </w:r>
          </w:p>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⑫</w:t>
            </w:r>
            <w:r>
              <w:rPr>
                <w:rFonts w:hint="eastAsia" w:ascii="仿宋" w:hAnsi="仿宋" w:eastAsia="仿宋" w:cs="仿宋"/>
                <w:sz w:val="28"/>
                <w:szCs w:val="28"/>
              </w:rPr>
              <w:t>符合标准：安全GB19510.1，GB19510.14；EMI GB17743, GB17625.1</w:t>
            </w:r>
            <w:r>
              <w:rPr>
                <w:rFonts w:hint="eastAsia" w:ascii="仿宋" w:hAnsi="仿宋" w:eastAsia="仿宋" w:cs="仿宋"/>
                <w:sz w:val="28"/>
                <w:szCs w:val="28"/>
                <w:lang w:eastAsia="zh-CN"/>
              </w:rPr>
              <w:t>；</w:t>
            </w:r>
          </w:p>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i w:val="0"/>
                <w:iCs w:val="0"/>
                <w:caps w:val="0"/>
                <w:color w:val="333333"/>
                <w:spacing w:val="0"/>
                <w:sz w:val="28"/>
                <w:szCs w:val="28"/>
                <w:shd w:val="clear" w:fill="FFFFFF"/>
              </w:rPr>
              <w:t>⑬</w:t>
            </w:r>
            <w:r>
              <w:rPr>
                <w:rFonts w:hint="eastAsia" w:ascii="仿宋" w:hAnsi="仿宋" w:eastAsia="仿宋" w:cs="仿宋"/>
                <w:sz w:val="28"/>
                <w:szCs w:val="28"/>
              </w:rPr>
              <w:t>成本：50W：150.0元；100W：200元；150W：230元；200W：280元；240W：300元；</w:t>
            </w:r>
          </w:p>
          <w:p>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5.</w:t>
            </w:r>
            <w:r>
              <w:rPr>
                <w:rFonts w:hint="eastAsia" w:ascii="仿宋" w:hAnsi="仿宋" w:eastAsia="仿宋" w:cs="仿宋"/>
                <w:b/>
                <w:bCs/>
                <w:sz w:val="28"/>
                <w:szCs w:val="28"/>
              </w:rPr>
              <w:t>其他</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紧凑型外壳设计，具备优异的散热性能。通讯方式可靠，抗干扰能力强。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30" w:type="dxa"/>
            <w:vMerge w:val="continue"/>
            <w:tcBorders>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现有</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基础</w:t>
            </w:r>
          </w:p>
        </w:tc>
        <w:tc>
          <w:tcPr>
            <w:tcW w:w="7239" w:type="dxa"/>
            <w:gridSpan w:val="4"/>
            <w:tcBorders>
              <w:top w:val="single" w:color="auto" w:sz="4" w:space="0"/>
              <w:left w:val="nil"/>
              <w:bottom w:val="single" w:color="auto" w:sz="4" w:space="0"/>
              <w:right w:val="single" w:color="auto" w:sz="4" w:space="0"/>
            </w:tcBorders>
            <w:vAlign w:val="center"/>
          </w:tcPr>
          <w:p>
            <w:pPr>
              <w:pStyle w:val="21"/>
              <w:numPr>
                <w:ilvl w:val="0"/>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1.</w:t>
            </w:r>
            <w:r>
              <w:rPr>
                <w:rFonts w:hint="eastAsia" w:ascii="仿宋" w:hAnsi="仿宋" w:eastAsia="仿宋" w:cs="仿宋"/>
                <w:b/>
                <w:bCs/>
                <w:kern w:val="0"/>
                <w:sz w:val="28"/>
                <w:szCs w:val="28"/>
              </w:rPr>
              <w:t>开展的工作</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LED路灯灯具开发及市场上现有单灯控制器的选型应用。</w:t>
            </w:r>
          </w:p>
          <w:p>
            <w:pPr>
              <w:pStyle w:val="21"/>
              <w:numPr>
                <w:ilvl w:val="0"/>
                <w:numId w:val="0"/>
              </w:numPr>
              <w:spacing w:line="360" w:lineRule="exact"/>
              <w:ind w:leftChars="0"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2.</w:t>
            </w:r>
            <w:r>
              <w:rPr>
                <w:rFonts w:hint="eastAsia" w:ascii="仿宋" w:hAnsi="仿宋" w:eastAsia="仿宋" w:cs="仿宋"/>
                <w:b/>
                <w:bCs/>
                <w:kern w:val="0"/>
                <w:sz w:val="28"/>
                <w:szCs w:val="28"/>
              </w:rPr>
              <w:t>投入资金和人才</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计划投入资金</w:t>
            </w:r>
            <w:r>
              <w:rPr>
                <w:rFonts w:hint="eastAsia" w:ascii="仿宋" w:hAnsi="仿宋" w:eastAsia="仿宋" w:cs="仿宋"/>
                <w:kern w:val="0"/>
                <w:sz w:val="28"/>
                <w:szCs w:val="28"/>
                <w:lang w:val="en-US" w:eastAsia="zh-CN"/>
              </w:rPr>
              <w:t>20-</w:t>
            </w:r>
            <w:r>
              <w:rPr>
                <w:rFonts w:hint="eastAsia" w:ascii="仿宋" w:hAnsi="仿宋" w:eastAsia="仿宋" w:cs="仿宋"/>
                <w:kern w:val="0"/>
                <w:sz w:val="28"/>
                <w:szCs w:val="28"/>
              </w:rPr>
              <w:t>30</w:t>
            </w:r>
            <w:r>
              <w:rPr>
                <w:rFonts w:hint="eastAsia" w:ascii="仿宋" w:hAnsi="仿宋" w:eastAsia="仿宋" w:cs="仿宋"/>
                <w:kern w:val="0"/>
                <w:sz w:val="28"/>
                <w:szCs w:val="28"/>
                <w:lang w:eastAsia="zh-CN"/>
              </w:rPr>
              <w:t>万元</w:t>
            </w:r>
            <w:r>
              <w:rPr>
                <w:rFonts w:hint="eastAsia" w:ascii="仿宋" w:hAnsi="仿宋" w:eastAsia="仿宋" w:cs="仿宋"/>
                <w:kern w:val="0"/>
                <w:sz w:val="28"/>
                <w:szCs w:val="28"/>
              </w:rPr>
              <w:t>，</w:t>
            </w:r>
            <w:r>
              <w:rPr>
                <w:rFonts w:hint="eastAsia" w:ascii="仿宋" w:hAnsi="仿宋" w:eastAsia="仿宋" w:cs="仿宋"/>
                <w:kern w:val="0"/>
                <w:sz w:val="28"/>
                <w:szCs w:val="28"/>
                <w:lang w:eastAsia="zh-CN"/>
              </w:rPr>
              <w:t>培养</w:t>
            </w:r>
            <w:r>
              <w:rPr>
                <w:rFonts w:hint="eastAsia" w:ascii="仿宋" w:hAnsi="仿宋" w:eastAsia="仿宋" w:cs="仿宋"/>
                <w:kern w:val="0"/>
                <w:sz w:val="28"/>
                <w:szCs w:val="28"/>
              </w:rPr>
              <w:t>硬件工程师（硕士）1名，软件工程师（硕士）2名。</w:t>
            </w:r>
          </w:p>
          <w:p>
            <w:pPr>
              <w:pStyle w:val="21"/>
              <w:numPr>
                <w:ilvl w:val="0"/>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3.</w:t>
            </w:r>
            <w:r>
              <w:rPr>
                <w:rFonts w:hint="eastAsia" w:ascii="仿宋" w:hAnsi="仿宋" w:eastAsia="仿宋" w:cs="仿宋"/>
                <w:b/>
                <w:bCs/>
                <w:kern w:val="0"/>
                <w:sz w:val="28"/>
                <w:szCs w:val="28"/>
              </w:rPr>
              <w:t>仪器设备</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kern w:val="0"/>
                <w:sz w:val="28"/>
                <w:szCs w:val="28"/>
                <w:lang w:eastAsia="zh-CN"/>
              </w:rPr>
            </w:pPr>
            <w:r>
              <w:rPr>
                <w:rFonts w:hint="eastAsia" w:ascii="仿宋" w:hAnsi="仿宋" w:eastAsia="仿宋" w:cs="仿宋"/>
                <w:kern w:val="0"/>
                <w:sz w:val="28"/>
                <w:szCs w:val="28"/>
              </w:rPr>
              <w:t>示波器、电子负载、直流实验电源、AC Source</w:t>
            </w:r>
            <w:r>
              <w:rPr>
                <w:rFonts w:hint="eastAsia" w:ascii="仿宋" w:hAnsi="仿宋" w:eastAsia="仿宋" w:cs="仿宋"/>
                <w:kern w:val="0"/>
                <w:sz w:val="28"/>
                <w:szCs w:val="28"/>
                <w:lang w:eastAsia="zh-CN"/>
              </w:rPr>
              <w:t>。</w:t>
            </w:r>
          </w:p>
          <w:p>
            <w:pPr>
              <w:pStyle w:val="21"/>
              <w:numPr>
                <w:ilvl w:val="0"/>
                <w:numId w:val="0"/>
              </w:numPr>
              <w:spacing w:line="360" w:lineRule="exact"/>
              <w:ind w:leftChars="0"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4.</w:t>
            </w:r>
            <w:r>
              <w:rPr>
                <w:rFonts w:hint="eastAsia" w:ascii="仿宋" w:hAnsi="仿宋" w:eastAsia="仿宋" w:cs="仿宋"/>
                <w:b/>
                <w:bCs/>
                <w:kern w:val="0"/>
                <w:sz w:val="28"/>
                <w:szCs w:val="28"/>
              </w:rPr>
              <w:t>生产条件</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STM产线一条，装配产品一条。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1"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简要</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描述</w:t>
            </w:r>
          </w:p>
        </w:tc>
        <w:tc>
          <w:tcPr>
            <w:tcW w:w="7239"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与高校通过联合开发的方式开展合作，知识产权归我公司所有，拥有生产必需的关键设备来支撑。</w:t>
            </w:r>
            <w:bookmarkStart w:id="3" w:name="_GoBack"/>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合作</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方式</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 xml:space="preserve">□技术转让    □技术入股   ■联合开发   □委托研发 </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□委托团队、专家长期技术服务 □共建新研发、生产实体</w:t>
            </w:r>
          </w:p>
        </w:tc>
      </w:tr>
      <w:bookmarkEnd w:id="1"/>
      <w:bookmarkEnd w:id="2"/>
    </w:tbl>
    <w:p>
      <w:pPr>
        <w:widowControl/>
        <w:ind w:firstLine="0" w:firstLineChars="0"/>
        <w:jc w:val="left"/>
        <w:rPr>
          <w:rFonts w:ascii="黑体" w:hAnsi="黑体" w:eastAsia="黑体" w:cs="黑体"/>
          <w:bCs/>
          <w:szCs w:val="32"/>
        </w:rPr>
      </w:pPr>
    </w:p>
    <w:sectPr>
      <w:headerReference r:id="rId7" w:type="first"/>
      <w:footerReference r:id="rId9" w:type="first"/>
      <w:headerReference r:id="rId5" w:type="default"/>
      <w:footerReference r:id="rId8" w:type="default"/>
      <w:headerReference r:id="rId6" w:type="even"/>
      <w:pgSz w:w="11906" w:h="16838"/>
      <w:pgMar w:top="2098" w:right="1474" w:bottom="1984" w:left="1587" w:header="851" w:footer="1417"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长城小标宋体">
    <w:altName w:val="宋体"/>
    <w:panose1 w:val="00000000000000000000"/>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s>
      <w:wordWrap w:val="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eastAsia="仿宋_GB2312"/>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rPr>
                        <w:rFonts w:eastAsia="仿宋_GB2312"/>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5"/>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2"/>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evenAndOddHeaders w:val="1"/>
  <w:drawingGridHorizontalSpacing w:val="320"/>
  <w:drawingGridVerticalSpacing w:val="290"/>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1YTcwOTc1ZDUxNTcwOGNiZjNiNTdiY2QzOTc1YTgifQ=="/>
  </w:docVars>
  <w:rsids>
    <w:rsidRoot w:val="79FC669C"/>
    <w:rsid w:val="0002333C"/>
    <w:rsid w:val="00060505"/>
    <w:rsid w:val="0009366D"/>
    <w:rsid w:val="000A1380"/>
    <w:rsid w:val="001554EA"/>
    <w:rsid w:val="00165BBD"/>
    <w:rsid w:val="001E2F64"/>
    <w:rsid w:val="0022094F"/>
    <w:rsid w:val="002559C3"/>
    <w:rsid w:val="00264A4F"/>
    <w:rsid w:val="00277566"/>
    <w:rsid w:val="002C59E7"/>
    <w:rsid w:val="003E512F"/>
    <w:rsid w:val="00466598"/>
    <w:rsid w:val="0046684A"/>
    <w:rsid w:val="00472ADB"/>
    <w:rsid w:val="004B47E3"/>
    <w:rsid w:val="00504B4B"/>
    <w:rsid w:val="00507F22"/>
    <w:rsid w:val="0063722E"/>
    <w:rsid w:val="006F12D1"/>
    <w:rsid w:val="006F5501"/>
    <w:rsid w:val="00705CA9"/>
    <w:rsid w:val="00784369"/>
    <w:rsid w:val="00810A7A"/>
    <w:rsid w:val="008469CF"/>
    <w:rsid w:val="008D29E6"/>
    <w:rsid w:val="008E4F71"/>
    <w:rsid w:val="008F064F"/>
    <w:rsid w:val="0095160C"/>
    <w:rsid w:val="00961891"/>
    <w:rsid w:val="009A7860"/>
    <w:rsid w:val="009C1D42"/>
    <w:rsid w:val="00A22CB6"/>
    <w:rsid w:val="00A56FC4"/>
    <w:rsid w:val="00B05B59"/>
    <w:rsid w:val="00B74319"/>
    <w:rsid w:val="00B83E4D"/>
    <w:rsid w:val="00BA0439"/>
    <w:rsid w:val="00C55182"/>
    <w:rsid w:val="00CD780B"/>
    <w:rsid w:val="00CE28CF"/>
    <w:rsid w:val="00D009C6"/>
    <w:rsid w:val="00D03ADD"/>
    <w:rsid w:val="00DB4C4A"/>
    <w:rsid w:val="00DD5222"/>
    <w:rsid w:val="00E77B0F"/>
    <w:rsid w:val="00EA2F19"/>
    <w:rsid w:val="00EC311F"/>
    <w:rsid w:val="00F74348"/>
    <w:rsid w:val="00FC601B"/>
    <w:rsid w:val="00FE5136"/>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0437EB"/>
    <w:rsid w:val="17316D38"/>
    <w:rsid w:val="173E255F"/>
    <w:rsid w:val="178B044E"/>
    <w:rsid w:val="17B62183"/>
    <w:rsid w:val="17C64FBC"/>
    <w:rsid w:val="180E5079"/>
    <w:rsid w:val="18290C72"/>
    <w:rsid w:val="182931E3"/>
    <w:rsid w:val="1833387B"/>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582968"/>
    <w:rsid w:val="3A7D7406"/>
    <w:rsid w:val="3AC004AF"/>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008FC"/>
    <w:rsid w:val="42054DC8"/>
    <w:rsid w:val="42136D75"/>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B76D5F"/>
    <w:rsid w:val="5EB870ED"/>
    <w:rsid w:val="5F4654B2"/>
    <w:rsid w:val="5F4F3C1A"/>
    <w:rsid w:val="5F9066CE"/>
    <w:rsid w:val="5FDB64F8"/>
    <w:rsid w:val="5FFF5EFE"/>
    <w:rsid w:val="600B4380"/>
    <w:rsid w:val="602E1FAC"/>
    <w:rsid w:val="6033141C"/>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437DE6"/>
    <w:rsid w:val="6C59328A"/>
    <w:rsid w:val="6C730F73"/>
    <w:rsid w:val="6CCD2C3B"/>
    <w:rsid w:val="6D8C1D98"/>
    <w:rsid w:val="6D9A4E9E"/>
    <w:rsid w:val="6D9B5524"/>
    <w:rsid w:val="6DCD0413"/>
    <w:rsid w:val="6DFA6134"/>
    <w:rsid w:val="6E204DE1"/>
    <w:rsid w:val="6E3517FE"/>
    <w:rsid w:val="6E36472A"/>
    <w:rsid w:val="6E6453D4"/>
    <w:rsid w:val="6E6C0418"/>
    <w:rsid w:val="6EA6776B"/>
    <w:rsid w:val="6EC2485F"/>
    <w:rsid w:val="6ED410F1"/>
    <w:rsid w:val="6EE70AF6"/>
    <w:rsid w:val="6F0F521C"/>
    <w:rsid w:val="6F853EE0"/>
    <w:rsid w:val="6FB944FB"/>
    <w:rsid w:val="6FDF733A"/>
    <w:rsid w:val="6FEF2109"/>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AA51E44"/>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4"/>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5">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2">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Title"/>
    <w:basedOn w:val="1"/>
    <w:qFormat/>
    <w:uiPriority w:val="0"/>
    <w:pPr>
      <w:spacing w:before="240" w:after="60"/>
      <w:jc w:val="center"/>
      <w:outlineLvl w:val="0"/>
    </w:pPr>
    <w:rPr>
      <w:rFonts w:ascii="Arial" w:hAnsi="Arial"/>
      <w:b/>
    </w:rPr>
  </w:style>
  <w:style w:type="paragraph" w:styleId="6">
    <w:name w:val="annotation text"/>
    <w:basedOn w:val="1"/>
    <w:link w:val="22"/>
    <w:qFormat/>
    <w:uiPriority w:val="0"/>
    <w:pPr>
      <w:jc w:val="left"/>
    </w:pPr>
  </w:style>
  <w:style w:type="paragraph" w:styleId="7">
    <w:name w:val="Body Text 3"/>
    <w:basedOn w:val="1"/>
    <w:qFormat/>
    <w:uiPriority w:val="0"/>
    <w:rPr>
      <w:rFonts w:ascii="仿宋_GB2312"/>
      <w:spacing w:val="-4"/>
      <w:sz w:val="16"/>
      <w:szCs w:val="16"/>
    </w:rPr>
  </w:style>
  <w:style w:type="paragraph" w:styleId="8">
    <w:name w:val="Body Text"/>
    <w:basedOn w:val="1"/>
    <w:qFormat/>
    <w:uiPriority w:val="0"/>
    <w:pPr>
      <w:spacing w:after="120"/>
    </w:pPr>
    <w:rPr>
      <w:rFonts w:ascii="Calibri" w:hAnsi="Calibri"/>
      <w:sz w:val="24"/>
    </w:rPr>
  </w:style>
  <w:style w:type="paragraph" w:styleId="9">
    <w:name w:val="Date"/>
    <w:basedOn w:val="1"/>
    <w:next w:val="1"/>
    <w:qFormat/>
    <w:uiPriority w:val="0"/>
    <w:pPr>
      <w:ind w:left="100" w:leftChars="2500"/>
    </w:pPr>
    <w:rPr>
      <w:sz w:val="28"/>
    </w:rPr>
  </w:style>
  <w:style w:type="paragraph" w:styleId="10">
    <w:name w:val="footer"/>
    <w:basedOn w:val="1"/>
    <w:link w:val="18"/>
    <w:qFormat/>
    <w:uiPriority w:val="0"/>
    <w:pPr>
      <w:tabs>
        <w:tab w:val="center" w:pos="4153"/>
        <w:tab w:val="right" w:pos="8306"/>
      </w:tabs>
      <w:snapToGrid w:val="0"/>
      <w:ind w:firstLine="0" w:firstLineChars="0"/>
      <w:jc w:val="left"/>
    </w:pPr>
    <w:rPr>
      <w:rFonts w:eastAsia="宋体"/>
      <w:sz w:val="2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paragraph" w:styleId="13">
    <w:name w:val="annotation subject"/>
    <w:basedOn w:val="6"/>
    <w:next w:val="6"/>
    <w:link w:val="2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qFormat/>
    <w:uiPriority w:val="0"/>
    <w:rPr>
      <w:sz w:val="21"/>
      <w:szCs w:val="21"/>
    </w:rPr>
  </w:style>
  <w:style w:type="character" w:customStyle="1" w:styleId="18">
    <w:name w:val="页脚 Char"/>
    <w:basedOn w:val="16"/>
    <w:link w:val="10"/>
    <w:semiHidden/>
    <w:qFormat/>
    <w:uiPriority w:val="99"/>
    <w:rPr>
      <w:rFonts w:ascii="Times New Roman" w:hAnsi="Times New Roman" w:eastAsia="宋体"/>
      <w:sz w:val="28"/>
      <w:szCs w:val="18"/>
    </w:rPr>
  </w:style>
  <w:style w:type="paragraph" w:customStyle="1" w:styleId="19">
    <w:name w:val="List Paragraph1"/>
    <w:basedOn w:val="1"/>
    <w:qFormat/>
    <w:uiPriority w:val="0"/>
    <w:pPr>
      <w:ind w:firstLine="420"/>
    </w:pPr>
    <w:rPr>
      <w:rFonts w:ascii="Calibri" w:hAnsi="Calibri"/>
      <w:szCs w:val="22"/>
    </w:rPr>
  </w:style>
  <w:style w:type="paragraph" w:customStyle="1" w:styleId="20">
    <w:name w:val="列表段落1"/>
    <w:basedOn w:val="1"/>
    <w:unhideWhenUsed/>
    <w:qFormat/>
    <w:uiPriority w:val="99"/>
    <w:pPr>
      <w:ind w:firstLine="420"/>
    </w:pPr>
  </w:style>
  <w:style w:type="paragraph" w:styleId="21">
    <w:name w:val="List Paragraph"/>
    <w:basedOn w:val="1"/>
    <w:qFormat/>
    <w:uiPriority w:val="34"/>
    <w:pPr>
      <w:ind w:firstLine="420"/>
    </w:pPr>
  </w:style>
  <w:style w:type="character" w:customStyle="1" w:styleId="22">
    <w:name w:val="批注文字 Char"/>
    <w:basedOn w:val="16"/>
    <w:link w:val="6"/>
    <w:qFormat/>
    <w:uiPriority w:val="0"/>
    <w:rPr>
      <w:rFonts w:eastAsia="仿宋_GB2312" w:cstheme="minorBidi"/>
      <w:kern w:val="2"/>
      <w:sz w:val="32"/>
      <w:szCs w:val="24"/>
    </w:rPr>
  </w:style>
  <w:style w:type="character" w:customStyle="1" w:styleId="23">
    <w:name w:val="批注主题 Char"/>
    <w:basedOn w:val="22"/>
    <w:link w:val="13"/>
    <w:qFormat/>
    <w:uiPriority w:val="0"/>
    <w:rPr>
      <w:rFonts w:eastAsia="仿宋_GB2312" w:cstheme="minorBidi"/>
      <w:b/>
      <w:bCs/>
      <w:kern w:val="2"/>
      <w:sz w:val="32"/>
      <w:szCs w:val="24"/>
    </w:rPr>
  </w:style>
  <w:style w:type="paragraph" w:customStyle="1" w:styleId="24">
    <w:name w:val="_Style 3"/>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E38500-8D7A-44A5-ABCF-E754C08D12D3}">
  <ds:schemaRefs/>
</ds:datastoreItem>
</file>

<file path=docProps/app.xml><?xml version="1.0" encoding="utf-8"?>
<Properties xmlns="http://schemas.openxmlformats.org/officeDocument/2006/extended-properties" xmlns:vt="http://schemas.openxmlformats.org/officeDocument/2006/docPropsVTypes">
  <Template>Normal.dotm</Template>
  <Pages>4</Pages>
  <Words>320</Words>
  <Characters>1825</Characters>
  <Lines>15</Lines>
  <Paragraphs>4</Paragraphs>
  <TotalTime>2</TotalTime>
  <ScaleCrop>false</ScaleCrop>
  <LinksUpToDate>false</LinksUpToDate>
  <CharactersWithSpaces>2141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2021-06-21T02:35:00Z</dcterms:created>
  <dc:creator>黄山红牡丹</dc:creator>
  <cp:lastModifiedBy>辉小辉</cp:lastModifiedBy>
  <cp:lastPrinted>2019-06-25T02:30:00Z</cp:lastPrinted>
  <dcterms:modified xsi:type="dcterms:W3CDTF">2023-10-10T07:45:19Z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37AD0737770D420EA06205E63CC3397F_13</vt:lpwstr>
  </property>
</Properties>
</file>